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81AB" w14:textId="77777777" w:rsidR="001A0BD0" w:rsidRDefault="001A0BD0" w:rsidP="00B338B4">
      <w:pPr>
        <w:spacing w:before="7" w:line="289" w:lineRule="exact"/>
        <w:rPr>
          <w:b/>
          <w:bCs/>
          <w:sz w:val="23"/>
          <w:szCs w:val="23"/>
          <w:lang w:eastAsia="it-IT"/>
        </w:rPr>
      </w:pPr>
    </w:p>
    <w:p w14:paraId="34301478" w14:textId="77777777" w:rsidR="001A0BD0" w:rsidRPr="00A85F84" w:rsidRDefault="001A0BD0" w:rsidP="001A0BD0">
      <w:pPr>
        <w:spacing w:before="7" w:after="100" w:afterAutospacing="1" w:line="289" w:lineRule="exact"/>
        <w:jc w:val="center"/>
        <w:rPr>
          <w:b/>
          <w:bCs/>
          <w:color w:val="000000"/>
          <w:sz w:val="23"/>
          <w:szCs w:val="23"/>
          <w:lang w:eastAsia="it-IT"/>
        </w:rPr>
      </w:pPr>
      <w:r w:rsidRPr="00A85F84">
        <w:rPr>
          <w:b/>
          <w:bCs/>
          <w:color w:val="000000"/>
          <w:sz w:val="23"/>
          <w:szCs w:val="23"/>
          <w:lang w:eastAsia="it-IT"/>
        </w:rPr>
        <w:t>Informativa ai sensi degli artt. 13 e 14 del Regolamento Europeo 2016/679 sul Trattamento dei dati personali nell’ambito del Sistema di Segnalazione di presunti illeciti (“Whistleblowing”)</w:t>
      </w:r>
    </w:p>
    <w:p w14:paraId="338E0487" w14:textId="77777777" w:rsidR="001A0BD0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Autostrade per l’Italia </w:t>
      </w:r>
      <w:proofErr w:type="spellStart"/>
      <w:r w:rsidRPr="00A85F84">
        <w:rPr>
          <w:color w:val="000000"/>
          <w:lang w:eastAsia="it-IT"/>
        </w:rPr>
        <w:t>SpA</w:t>
      </w:r>
      <w:proofErr w:type="spellEnd"/>
      <w:r w:rsidRPr="00A85F84">
        <w:rPr>
          <w:color w:val="000000"/>
          <w:lang w:eastAsia="it-IT"/>
        </w:rPr>
        <w:t xml:space="preserve"> ha introdotto lo strumento del “Whistleblowing”, quale Sistema di Segnalazione di presunti illeciti, nell’ambito del rapporto di lavoro, da parte di propri dipendenti, di dipendenti delle Società del “Gruppo ASPI” e di soggetti terzi (collaboratori/fornitori), nel rispetto della vigente normativa in materia (L. 231/2001, come modificata dalla L. 179/2017). </w:t>
      </w:r>
    </w:p>
    <w:p w14:paraId="324FD24E" w14:textId="071C1467" w:rsidR="00CB219B" w:rsidRPr="00A85F84" w:rsidRDefault="00CB219B" w:rsidP="001A0BD0">
      <w:pPr>
        <w:spacing w:before="7" w:after="120" w:line="289" w:lineRule="exact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Autostrade per l’Italia S.p.A. gestisce le segnalazioni </w:t>
      </w:r>
      <w:r w:rsidR="00AF1CD6">
        <w:rPr>
          <w:color w:val="000000"/>
          <w:lang w:eastAsia="it-IT"/>
        </w:rPr>
        <w:t>in materia whistleblowing per conto della R.A.V. Raccordo Autostradale Valle d’Aosta S.p.A.</w:t>
      </w:r>
      <w:r w:rsidR="000D1336">
        <w:rPr>
          <w:color w:val="000000"/>
          <w:lang w:eastAsia="it-IT"/>
        </w:rPr>
        <w:t xml:space="preserve"> (di seguito anche “RAV”)</w:t>
      </w:r>
      <w:r w:rsidR="00AF1CD6">
        <w:rPr>
          <w:color w:val="000000"/>
          <w:lang w:eastAsia="it-IT"/>
        </w:rPr>
        <w:t>.</w:t>
      </w:r>
    </w:p>
    <w:p w14:paraId="6A508D13" w14:textId="1177DD61" w:rsidR="001A0BD0" w:rsidRPr="00A85F84" w:rsidRDefault="007423BD" w:rsidP="001A0BD0">
      <w:pPr>
        <w:spacing w:before="7" w:after="120" w:line="289" w:lineRule="exact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Autostrade per l’Italia S.p.A. </w:t>
      </w:r>
      <w:r w:rsidR="001A0BD0" w:rsidRPr="00A85F84">
        <w:rPr>
          <w:color w:val="000000"/>
          <w:lang w:eastAsia="it-IT"/>
        </w:rPr>
        <w:t xml:space="preserve">ha adottato la “Procedura di gestione delle segnalazioni”, </w:t>
      </w:r>
      <w:r w:rsidR="000D1336">
        <w:rPr>
          <w:color w:val="000000"/>
          <w:lang w:eastAsia="it-IT"/>
        </w:rPr>
        <w:t xml:space="preserve">recepita anche </w:t>
      </w:r>
      <w:r w:rsidR="00EA5157">
        <w:rPr>
          <w:color w:val="000000"/>
          <w:lang w:eastAsia="it-IT"/>
        </w:rPr>
        <w:t xml:space="preserve">dalla RAV, </w:t>
      </w:r>
      <w:r w:rsidR="001A0BD0" w:rsidRPr="00A85F84">
        <w:rPr>
          <w:color w:val="000000"/>
          <w:lang w:eastAsia="it-IT"/>
        </w:rPr>
        <w:t xml:space="preserve">che consente, nell’ambito dello svolgimento del processo di ricezione e gestione delle Segnalazioni, di applicare le misure atte a tutelare tutti i soggetti coinvolti nel rispetto dei commi 2-bis, 2-ter e 2-quater dell’art. 6 della L. 231/2001, come introdotti dalla suindicata L. 179/2017 (“Disposizioni per la tutela degli autori di segnalazioni di reati o irregolarità di cui siano venuti a conoscenza nell'ambito di un rapporto di lavoro pubblico o privato”) e della normativa in materia di tutela dei dati personali [Regolamento Europeo 2016/679 (“GDPR”) e </w:t>
      </w:r>
      <w:proofErr w:type="spellStart"/>
      <w:r w:rsidR="001A0BD0" w:rsidRPr="00A85F84">
        <w:rPr>
          <w:color w:val="000000"/>
          <w:lang w:eastAsia="it-IT"/>
        </w:rPr>
        <w:t>D.Lgs.</w:t>
      </w:r>
      <w:proofErr w:type="spellEnd"/>
      <w:r w:rsidR="001A0BD0" w:rsidRPr="00A85F84">
        <w:rPr>
          <w:color w:val="000000"/>
          <w:lang w:eastAsia="it-IT"/>
        </w:rPr>
        <w:t xml:space="preserve"> 196/2003, come novellato dal </w:t>
      </w:r>
      <w:proofErr w:type="spellStart"/>
      <w:r w:rsidR="001A0BD0" w:rsidRPr="00A85F84">
        <w:rPr>
          <w:color w:val="000000"/>
          <w:lang w:eastAsia="it-IT"/>
        </w:rPr>
        <w:t>D.Lgs.</w:t>
      </w:r>
      <w:proofErr w:type="spellEnd"/>
      <w:r w:rsidR="001A0BD0" w:rsidRPr="00A85F84">
        <w:rPr>
          <w:color w:val="000000"/>
          <w:lang w:eastAsia="it-IT"/>
        </w:rPr>
        <w:t xml:space="preserve"> 101/2018 (“Codice Privacy”)]. </w:t>
      </w:r>
    </w:p>
    <w:p w14:paraId="2F411088" w14:textId="63AB9AD0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Ai sensi degli artt.13 e 14 del Regolamento Europeo 2016/679 (in seguito “GDPR”), R</w:t>
      </w:r>
      <w:r w:rsidR="00064BC2">
        <w:rPr>
          <w:color w:val="000000"/>
          <w:lang w:eastAsia="it-IT"/>
        </w:rPr>
        <w:t>AV</w:t>
      </w:r>
      <w:r w:rsidRPr="00A85F84">
        <w:rPr>
          <w:color w:val="000000"/>
          <w:lang w:eastAsia="it-IT"/>
        </w:rPr>
        <w:t xml:space="preserve"> rende l'informativa sul trattamento dei dati personali dei soggetti interessati dal processo di ricezione e gestione delle Segnalazioni (in seguito anche “Whistleblowing”).</w:t>
      </w:r>
    </w:p>
    <w:p w14:paraId="6E240A32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TITOLARE DEL TRATTAMENTO </w:t>
      </w:r>
    </w:p>
    <w:p w14:paraId="3307B352" w14:textId="77777777" w:rsidR="00DC6415" w:rsidRPr="00A85F84" w:rsidRDefault="00DC6415" w:rsidP="00DC6415">
      <w:pPr>
        <w:widowControl/>
        <w:autoSpaceDE/>
        <w:autoSpaceDN/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77A8035E" w14:textId="3E67B68A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bookmarkStart w:id="0" w:name="_Hlk134615579"/>
      <w:r w:rsidRPr="00A85F84">
        <w:rPr>
          <w:color w:val="000000"/>
          <w:lang w:eastAsia="it-IT"/>
        </w:rPr>
        <w:t>R.A.V. Raccordo Autostradale Valle d’Aosta S.p.A.</w:t>
      </w:r>
      <w:bookmarkEnd w:id="0"/>
      <w:r w:rsidR="007C6BF3">
        <w:rPr>
          <w:color w:val="000000"/>
          <w:lang w:eastAsia="it-IT"/>
        </w:rPr>
        <w:t>, s</w:t>
      </w:r>
      <w:r w:rsidRPr="00A85F84">
        <w:rPr>
          <w:color w:val="000000"/>
          <w:lang w:eastAsia="it-IT"/>
        </w:rPr>
        <w:t xml:space="preserve">ocietà soggetta ad attività di direzione e coordinamento di Autostrade per l’Italia S.p.A., con sede legale in Località </w:t>
      </w:r>
      <w:proofErr w:type="spellStart"/>
      <w:r w:rsidRPr="00A85F84">
        <w:rPr>
          <w:color w:val="000000"/>
          <w:lang w:eastAsia="it-IT"/>
        </w:rPr>
        <w:t>Les</w:t>
      </w:r>
      <w:proofErr w:type="spellEnd"/>
      <w:r w:rsidRPr="00A85F84">
        <w:rPr>
          <w:color w:val="000000"/>
          <w:lang w:eastAsia="it-IT"/>
        </w:rPr>
        <w:t xml:space="preserve"> Iles – 11010 Saint Pierre (AO), Codice Fiscale 05995720587 - Partita IVA 01475961007 – R.E.A. di Aosta 43050 e R.E.A. di Roma 1408458.</w:t>
      </w:r>
    </w:p>
    <w:p w14:paraId="039619E0" w14:textId="77777777" w:rsidR="001A0BD0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Il Data </w:t>
      </w:r>
      <w:proofErr w:type="spellStart"/>
      <w:r w:rsidRPr="00A85F84">
        <w:rPr>
          <w:color w:val="000000"/>
          <w:lang w:eastAsia="it-IT"/>
        </w:rPr>
        <w:t>Protection</w:t>
      </w:r>
      <w:proofErr w:type="spellEnd"/>
      <w:r w:rsidRPr="00A85F84">
        <w:rPr>
          <w:color w:val="000000"/>
          <w:lang w:eastAsia="it-IT"/>
        </w:rPr>
        <w:t xml:space="preserve"> </w:t>
      </w:r>
      <w:proofErr w:type="spellStart"/>
      <w:r w:rsidRPr="00A85F84">
        <w:rPr>
          <w:color w:val="000000"/>
          <w:lang w:eastAsia="it-IT"/>
        </w:rPr>
        <w:t>Officer</w:t>
      </w:r>
      <w:proofErr w:type="spellEnd"/>
      <w:r w:rsidRPr="00A85F84">
        <w:rPr>
          <w:color w:val="000000"/>
          <w:lang w:eastAsia="it-IT"/>
        </w:rPr>
        <w:t xml:space="preserve"> (DPO) è contattabile all’indirizzo di posta elettronica; dpo@pec.ravspa.it.</w:t>
      </w:r>
    </w:p>
    <w:p w14:paraId="3270C74B" w14:textId="77777777" w:rsidR="009172C9" w:rsidRPr="00A85F84" w:rsidRDefault="009172C9" w:rsidP="001A0BD0">
      <w:pPr>
        <w:spacing w:before="7" w:after="120" w:line="289" w:lineRule="exact"/>
        <w:jc w:val="both"/>
        <w:rPr>
          <w:color w:val="000000"/>
          <w:lang w:eastAsia="it-IT"/>
        </w:rPr>
      </w:pPr>
    </w:p>
    <w:p w14:paraId="1EDEEED7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TIPOLOGIE DI DATI TRATTATI </w:t>
      </w:r>
    </w:p>
    <w:p w14:paraId="78D3F4E0" w14:textId="77777777" w:rsidR="00DC6415" w:rsidRPr="00A85F84" w:rsidRDefault="00DC6415" w:rsidP="00DC6415">
      <w:pPr>
        <w:widowControl/>
        <w:autoSpaceDE/>
        <w:autoSpaceDN/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697D6387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Nell’ambito del procedimento di “Whistleblowing”, i dati personali oggetto di trattamento sono i dati del “Segnalante”, del “Segnalato” e delle persone coinvolte e/o collegate ai fatti oggetto della Segnalazione” (in seguito “Interessati”).</w:t>
      </w:r>
    </w:p>
    <w:p w14:paraId="0A601F71" w14:textId="28538AA0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personali raccolti e trattati </w:t>
      </w:r>
      <w:r w:rsidR="0047094E">
        <w:rPr>
          <w:color w:val="000000"/>
          <w:lang w:eastAsia="it-IT"/>
        </w:rPr>
        <w:t>nell’ambito del procedimento</w:t>
      </w:r>
      <w:r w:rsidR="003620F6">
        <w:rPr>
          <w:color w:val="000000"/>
          <w:lang w:eastAsia="it-IT"/>
        </w:rPr>
        <w:t xml:space="preserve"> </w:t>
      </w:r>
      <w:r w:rsidRPr="00A85F84">
        <w:rPr>
          <w:color w:val="000000"/>
          <w:lang w:eastAsia="it-IT"/>
        </w:rPr>
        <w:t>includono:</w:t>
      </w:r>
    </w:p>
    <w:p w14:paraId="24A2ED05" w14:textId="77777777" w:rsidR="001A0BD0" w:rsidRPr="00A85F84" w:rsidRDefault="001A0BD0" w:rsidP="001A0BD0">
      <w:pPr>
        <w:widowControl/>
        <w:numPr>
          <w:ilvl w:val="0"/>
          <w:numId w:val="13"/>
        </w:numPr>
        <w:autoSpaceDE/>
        <w:autoSpaceDN/>
        <w:spacing w:before="7" w:after="120" w:line="289" w:lineRule="exact"/>
        <w:ind w:left="714" w:hanging="357"/>
        <w:contextualSpacing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dati personali “comuni” degli Interessati (dati anagrafici, struttura aziendale di appartenenza, recapiti quali: indirizzo mail, indirizzo postale, numero telefonico);</w:t>
      </w:r>
    </w:p>
    <w:p w14:paraId="196BB0C9" w14:textId="77777777" w:rsidR="001A0BD0" w:rsidRPr="00A85F84" w:rsidRDefault="001A0BD0" w:rsidP="001A0BD0">
      <w:pPr>
        <w:widowControl/>
        <w:numPr>
          <w:ilvl w:val="0"/>
          <w:numId w:val="13"/>
        </w:numPr>
        <w:autoSpaceDE/>
        <w:autoSpaceDN/>
        <w:spacing w:before="7" w:after="120" w:line="289" w:lineRule="exact"/>
        <w:ind w:left="714" w:hanging="357"/>
        <w:contextualSpacing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ove necessario, dati appartenenti a particolari categorie ex art. 9 GDPR;</w:t>
      </w:r>
    </w:p>
    <w:p w14:paraId="5369CBEF" w14:textId="77777777" w:rsidR="001A0BD0" w:rsidRPr="00A85F84" w:rsidRDefault="001A0BD0" w:rsidP="001A0BD0">
      <w:pPr>
        <w:widowControl/>
        <w:numPr>
          <w:ilvl w:val="0"/>
          <w:numId w:val="13"/>
        </w:numPr>
        <w:autoSpaceDE/>
        <w:autoSpaceDN/>
        <w:spacing w:before="7" w:after="120" w:line="289" w:lineRule="exact"/>
        <w:contextualSpacing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immagini fotografiche e/o riprese video inerenti </w:t>
      </w:r>
      <w:proofErr w:type="gramStart"/>
      <w:r w:rsidRPr="00A85F84">
        <w:rPr>
          <w:color w:val="000000"/>
          <w:lang w:eastAsia="it-IT"/>
        </w:rPr>
        <w:t>l’Interessato</w:t>
      </w:r>
      <w:proofErr w:type="gramEnd"/>
      <w:r w:rsidRPr="00A85F84">
        <w:rPr>
          <w:color w:val="000000"/>
          <w:lang w:eastAsia="it-IT"/>
        </w:rPr>
        <w:t>;</w:t>
      </w:r>
    </w:p>
    <w:p w14:paraId="50FBEEBA" w14:textId="77777777" w:rsidR="000C491C" w:rsidRDefault="001A0BD0" w:rsidP="001A0BD0">
      <w:pPr>
        <w:widowControl/>
        <w:numPr>
          <w:ilvl w:val="0"/>
          <w:numId w:val="13"/>
        </w:numPr>
        <w:autoSpaceDE/>
        <w:autoSpaceDN/>
        <w:spacing w:before="7" w:after="120" w:line="289" w:lineRule="exact"/>
        <w:contextualSpacing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dati relativi all'ubicazione dell’Interessato. </w:t>
      </w:r>
    </w:p>
    <w:p w14:paraId="1CC18384" w14:textId="7F3EAA16" w:rsidR="001A0BD0" w:rsidRPr="00DA507E" w:rsidRDefault="001A0BD0" w:rsidP="00634B57">
      <w:pPr>
        <w:widowControl/>
        <w:autoSpaceDE/>
        <w:autoSpaceDN/>
        <w:spacing w:before="7" w:after="120" w:line="289" w:lineRule="exact"/>
        <w:contextualSpacing/>
        <w:jc w:val="both"/>
        <w:rPr>
          <w:color w:val="000000"/>
          <w:lang w:eastAsia="it-IT"/>
        </w:rPr>
      </w:pPr>
      <w:r w:rsidRPr="00DA507E">
        <w:rPr>
          <w:color w:val="000000"/>
          <w:lang w:eastAsia="it-IT"/>
        </w:rPr>
        <w:t xml:space="preserve">I dati possono essere raccolti sia direttamente presso l’Interessato sia per il tramite di altri soggetti coinvolti nella Segnalazione, mediante apposita piattaforma e/o i canali di comunicazione indicati al successivo punto 4. </w:t>
      </w:r>
    </w:p>
    <w:p w14:paraId="46DF23D0" w14:textId="0600D05A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sono forniti volontariamente dall’Interessato o da soggetto terzo, non </w:t>
      </w:r>
      <w:r w:rsidR="00472ABD">
        <w:rPr>
          <w:color w:val="000000"/>
          <w:lang w:eastAsia="it-IT"/>
        </w:rPr>
        <w:t>verranno trattati dati</w:t>
      </w:r>
      <w:r w:rsidRPr="00A85F84">
        <w:rPr>
          <w:color w:val="000000"/>
          <w:lang w:eastAsia="it-IT"/>
        </w:rPr>
        <w:t xml:space="preserve"> che non siano strettamente necessari alle finalità di cui al successivo punto 3. </w:t>
      </w:r>
    </w:p>
    <w:p w14:paraId="796DB9A0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FINALITA’ E BASE GIURIDICA DEL TRATTAMENTO </w:t>
      </w:r>
    </w:p>
    <w:p w14:paraId="017731E1" w14:textId="77777777" w:rsidR="001A0BD0" w:rsidRPr="00A85F84" w:rsidRDefault="001A0BD0" w:rsidP="001A0BD0">
      <w:pPr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54C136DD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lastRenderedPageBreak/>
        <w:t>I dati personali sono trattati, nell’ambito del procedimento di “Whistleblowing”, esclusivamente per le finalità di istruttoria ed accertamento dei fatti oggetto della Segnalazione e di adozione degli eventuali conseguenti provvedimenti.</w:t>
      </w:r>
    </w:p>
    <w:p w14:paraId="1362A9FC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In particolare, i dati personali raccolti sono solo quelli necessari e pertinenti per il raggiungimento delle finalità sopra indicate, sulla base del “principio di minimizzazione”, ai sensi dell’art. 5.1 lett. c) GDPR. </w:t>
      </w:r>
    </w:p>
    <w:p w14:paraId="410A172B" w14:textId="2185D7B3" w:rsidR="00F275C6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Rispetto a questi dati, il loro conferimento è volontario e l’Interessato è pregato di fornire soltanto i dati necessari a descrivere i fatti oggetto della Segnalazione senza comunicare dati personali ridondanti ed ulteriori a quelli necessari rispetto alle finalità sopra indicate. Nel caso siano forniti,</w:t>
      </w:r>
      <w:r w:rsidR="00F275C6">
        <w:rPr>
          <w:color w:val="000000"/>
          <w:lang w:eastAsia="it-IT"/>
        </w:rPr>
        <w:t xml:space="preserve"> tali dati non saranno utilizzati</w:t>
      </w:r>
      <w:r w:rsidRPr="00A85F84">
        <w:rPr>
          <w:color w:val="000000"/>
          <w:lang w:eastAsia="it-IT"/>
        </w:rPr>
        <w:t xml:space="preserve">. </w:t>
      </w:r>
    </w:p>
    <w:p w14:paraId="218D753D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personali sono trattati sulla base giuridica del legittimo interesse del Titolare, ex art. 6, co. 1, lett. f) del GDPR, a gestire le Segnalazioni di illeciti, di cui sia venuto a conoscenza il Segnalante per ragioni di lavoro e/o nell’ambito del rapporto di lavoro, </w:t>
      </w:r>
      <w:proofErr w:type="spellStart"/>
      <w:r w:rsidRPr="00A85F84">
        <w:rPr>
          <w:color w:val="000000"/>
          <w:lang w:eastAsia="it-IT"/>
        </w:rPr>
        <w:t>nonchè</w:t>
      </w:r>
      <w:proofErr w:type="spellEnd"/>
      <w:r w:rsidRPr="00A85F84">
        <w:rPr>
          <w:color w:val="000000"/>
          <w:lang w:eastAsia="it-IT"/>
        </w:rPr>
        <w:t xml:space="preserve"> a tutelare gli Interessati interni ed esterni coinvolti nel procedimento di “Whistleblowing”.</w:t>
      </w:r>
    </w:p>
    <w:p w14:paraId="4AD7793B" w14:textId="77777777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I dati personali ex art. 9 GDPR, potranno essere trattati, ove necessario, sulla base giuridica del legittimo interesse del Titolare, ex art 6, co. 1, lett. f) del GDPR, per l’accertamento, l’esercizio o la difesa di un diritto in sede giudiziaria, nonché sulla base giuridica ex art 6, co. 1, lett. b) del GDPR (“esecuzione del contratto”) per determinati aspetti del rapporto di lavoro.</w:t>
      </w:r>
    </w:p>
    <w:p w14:paraId="47529EA1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MODALITA’ DEL TRATTAMENTO </w:t>
      </w:r>
    </w:p>
    <w:p w14:paraId="479C6A4B" w14:textId="77777777" w:rsidR="001A0BD0" w:rsidRPr="00A85F84" w:rsidRDefault="001A0BD0" w:rsidP="001A0BD0">
      <w:pPr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56A696FC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sono raccolti, nel rispetto delle norme vigenti, a mezzo di strumenti elettronici, telematici e manuali, in modalità cartacea e/o elettronica e/o in forma orale, con logiche strettamente connesse alle finalità sopra indicate, in modo da garantire la sicurezza e la riservatezza dei dati stessi. </w:t>
      </w:r>
    </w:p>
    <w:p w14:paraId="4FFB3649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In particolare, sono raccolti tramite i seguenti canali: </w:t>
      </w:r>
    </w:p>
    <w:p w14:paraId="735E6835" w14:textId="44084A28" w:rsidR="001A0BD0" w:rsidRPr="00355016" w:rsidRDefault="001A0BD0" w:rsidP="001A0BD0">
      <w:pPr>
        <w:widowControl/>
        <w:numPr>
          <w:ilvl w:val="0"/>
          <w:numId w:val="14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A85F84">
        <w:rPr>
          <w:color w:val="000000"/>
          <w:lang w:eastAsia="it-IT"/>
        </w:rPr>
        <w:t>piattaforma on line “W</w:t>
      </w:r>
      <w:r w:rsidR="00355016">
        <w:rPr>
          <w:color w:val="000000"/>
          <w:lang w:eastAsia="it-IT"/>
        </w:rPr>
        <w:t>h</w:t>
      </w:r>
      <w:r w:rsidRPr="00A85F84">
        <w:rPr>
          <w:color w:val="000000"/>
          <w:lang w:eastAsia="it-IT"/>
        </w:rPr>
        <w:t xml:space="preserve">istleblowing” resa disponibile sul sito </w:t>
      </w:r>
      <w:r w:rsidR="006D30E9">
        <w:rPr>
          <w:color w:val="000000"/>
          <w:lang w:eastAsia="it-IT"/>
        </w:rPr>
        <w:t xml:space="preserve">della controllante Autostrade per l’Italia </w:t>
      </w:r>
      <w:r w:rsidR="00355016" w:rsidRPr="00355016">
        <w:rPr>
          <w:lang w:eastAsia="it-IT"/>
        </w:rPr>
        <w:t>S.p.A.</w:t>
      </w:r>
    </w:p>
    <w:p w14:paraId="07D0A35B" w14:textId="77777777" w:rsidR="001A0BD0" w:rsidRPr="00355016" w:rsidRDefault="001A0BD0" w:rsidP="001A0BD0">
      <w:pPr>
        <w:widowControl/>
        <w:numPr>
          <w:ilvl w:val="0"/>
          <w:numId w:val="14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355016">
        <w:rPr>
          <w:lang w:eastAsia="it-IT"/>
        </w:rPr>
        <w:t xml:space="preserve">posta elettronica all’indirizzo: </w:t>
      </w:r>
      <w:hyperlink r:id="rId7" w:history="1">
        <w:r w:rsidRPr="00355016">
          <w:rPr>
            <w:u w:val="single"/>
            <w:lang w:eastAsia="it-IT"/>
          </w:rPr>
          <w:t>segnalazioni@autostrade.it</w:t>
        </w:r>
      </w:hyperlink>
      <w:r w:rsidRPr="00355016">
        <w:rPr>
          <w:lang w:eastAsia="it-IT"/>
        </w:rPr>
        <w:t>;</w:t>
      </w:r>
    </w:p>
    <w:p w14:paraId="6A179553" w14:textId="77777777" w:rsidR="001A0BD0" w:rsidRPr="00355016" w:rsidRDefault="001A0BD0" w:rsidP="001A0BD0">
      <w:pPr>
        <w:widowControl/>
        <w:numPr>
          <w:ilvl w:val="0"/>
          <w:numId w:val="14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355016">
        <w:rPr>
          <w:lang w:eastAsia="it-IT"/>
        </w:rPr>
        <w:t xml:space="preserve">posta ordinaria, all’indirizzo: Ethics Office del Gruppo ASPI, via Bergamini, 50 Roma; </w:t>
      </w:r>
    </w:p>
    <w:p w14:paraId="25C884FE" w14:textId="77777777" w:rsidR="001A0BD0" w:rsidRPr="00355016" w:rsidRDefault="001A0BD0" w:rsidP="001A0BD0">
      <w:pPr>
        <w:widowControl/>
        <w:numPr>
          <w:ilvl w:val="0"/>
          <w:numId w:val="14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355016">
        <w:rPr>
          <w:lang w:eastAsia="it-IT"/>
        </w:rPr>
        <w:t xml:space="preserve">casella vocale, al numero 06/43634213. </w:t>
      </w:r>
    </w:p>
    <w:p w14:paraId="18A2D712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raccolti come sopra non saranno oggetto di trattamento completamente automatizzato così come specificato all’art. 22 GDPR. </w:t>
      </w:r>
    </w:p>
    <w:p w14:paraId="3A219C5D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Specifiche misure di sicurezza sono osservate per prevenire la perdita dei dati, usi illeciti o non corretti ed accessi non autorizzati. </w:t>
      </w:r>
    </w:p>
    <w:p w14:paraId="367878EC" w14:textId="77777777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Inoltre, specifiche misure tecnico-organizzative sono adottate, ai sensi dell’art. 32 GDPR, per garantire la tutela dell’identità degli Interessati nonché l’eventuale anonimia del Segnalante ed il completo anonimato nell’accesso alla piattaforma (no log). </w:t>
      </w:r>
    </w:p>
    <w:p w14:paraId="46C3C71B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TEMPI DI CONSERVAZIONE DEI DATI </w:t>
      </w:r>
    </w:p>
    <w:p w14:paraId="5FBA3AB0" w14:textId="77777777" w:rsidR="001A0BD0" w:rsidRPr="00A85F84" w:rsidRDefault="001A0BD0" w:rsidP="001A0BD0">
      <w:pPr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066A50A7" w14:textId="77777777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personali saranno conservati solo per il tempo necessario alle finalità per le quali vengono raccolti nel rispetto del principio di minimizzazione ex art. 5.1.c) GDPR </w:t>
      </w:r>
      <w:proofErr w:type="gramStart"/>
      <w:r w:rsidRPr="00A85F84">
        <w:rPr>
          <w:color w:val="000000"/>
          <w:lang w:eastAsia="it-IT"/>
        </w:rPr>
        <w:t>ed</w:t>
      </w:r>
      <w:proofErr w:type="gramEnd"/>
      <w:r w:rsidRPr="00A85F84">
        <w:rPr>
          <w:color w:val="000000"/>
          <w:lang w:eastAsia="it-IT"/>
        </w:rPr>
        <w:t xml:space="preserve">, in particolare, alle finalità di gestione dell’istruttoria, di conclusione dell’attività di definizione della Segnalazione e di adozione dei relativi provvedimenti, in caso di accertamento. </w:t>
      </w:r>
    </w:p>
    <w:p w14:paraId="37A4BA8F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DESTINATARI DEI DATI </w:t>
      </w:r>
    </w:p>
    <w:p w14:paraId="58908C3D" w14:textId="77777777" w:rsidR="00EF37DD" w:rsidRDefault="00EF37DD" w:rsidP="001A0BD0">
      <w:pPr>
        <w:spacing w:before="7" w:after="120" w:line="289" w:lineRule="exact"/>
        <w:jc w:val="both"/>
        <w:rPr>
          <w:b/>
          <w:bCs/>
          <w:color w:val="000000"/>
          <w:lang w:eastAsia="it-IT"/>
        </w:rPr>
      </w:pPr>
    </w:p>
    <w:p w14:paraId="70ECC542" w14:textId="77777777" w:rsidR="00DF0C9E" w:rsidRDefault="008F6D03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8F6D03">
        <w:rPr>
          <w:color w:val="000000"/>
          <w:lang w:eastAsia="it-IT"/>
        </w:rPr>
        <w:t>Per lo</w:t>
      </w:r>
      <w:r>
        <w:rPr>
          <w:b/>
          <w:bCs/>
          <w:color w:val="000000"/>
          <w:lang w:eastAsia="it-IT"/>
        </w:rPr>
        <w:t xml:space="preserve"> </w:t>
      </w:r>
      <w:r>
        <w:rPr>
          <w:color w:val="000000"/>
          <w:lang w:eastAsia="it-IT"/>
        </w:rPr>
        <w:t xml:space="preserve">svolgimento delle attività relative al procedimento </w:t>
      </w:r>
      <w:r w:rsidR="00092419">
        <w:rPr>
          <w:color w:val="000000"/>
          <w:lang w:eastAsia="it-IT"/>
        </w:rPr>
        <w:t xml:space="preserve">di “Whistleblowing”, e sempre per le finalità di cui al </w:t>
      </w:r>
      <w:r w:rsidR="00092419">
        <w:rPr>
          <w:color w:val="000000"/>
          <w:lang w:eastAsia="it-IT"/>
        </w:rPr>
        <w:lastRenderedPageBreak/>
        <w:t>punto 3</w:t>
      </w:r>
      <w:r w:rsidR="00C90D5B">
        <w:rPr>
          <w:color w:val="000000"/>
          <w:lang w:eastAsia="it-IT"/>
        </w:rPr>
        <w:t xml:space="preserve">, la controllante Autostrade per l’Italia S.p.A. </w:t>
      </w:r>
      <w:r w:rsidR="00B82A19">
        <w:rPr>
          <w:color w:val="000000"/>
          <w:lang w:eastAsia="it-IT"/>
        </w:rPr>
        <w:t xml:space="preserve">gestisce le segnalazioni per </w:t>
      </w:r>
      <w:r w:rsidR="00DF0C9E">
        <w:rPr>
          <w:color w:val="000000"/>
          <w:lang w:eastAsia="it-IT"/>
        </w:rPr>
        <w:t>conto della RAV.</w:t>
      </w:r>
    </w:p>
    <w:p w14:paraId="20D98BAB" w14:textId="1F0BFE99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All’interno di </w:t>
      </w:r>
      <w:r w:rsidR="00DF0C9E">
        <w:rPr>
          <w:color w:val="000000"/>
          <w:lang w:eastAsia="it-IT"/>
        </w:rPr>
        <w:t>Autostrade per l’Italia S.p.A.</w:t>
      </w:r>
      <w:r w:rsidR="00DF0C9E">
        <w:rPr>
          <w:color w:val="000000"/>
          <w:lang w:eastAsia="it-IT"/>
        </w:rPr>
        <w:t xml:space="preserve"> </w:t>
      </w:r>
      <w:r w:rsidRPr="00A85F84">
        <w:rPr>
          <w:color w:val="000000"/>
          <w:lang w:eastAsia="it-IT"/>
        </w:rPr>
        <w:t>possono venire a conoscenza dei dati personali forniti esclusivamente i soggetti incaricati del trattamento dal Titolare e autorizzati a compiere le operazioni di trattamento nell’ambito delle suddette attività.</w:t>
      </w:r>
    </w:p>
    <w:p w14:paraId="54CFEC25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Possono venire a conoscenza dei </w:t>
      </w:r>
      <w:proofErr w:type="gramStart"/>
      <w:r w:rsidRPr="00A85F84">
        <w:rPr>
          <w:color w:val="000000"/>
          <w:lang w:eastAsia="it-IT"/>
        </w:rPr>
        <w:t>predetti</w:t>
      </w:r>
      <w:proofErr w:type="gramEnd"/>
      <w:r w:rsidRPr="00A85F84">
        <w:rPr>
          <w:color w:val="000000"/>
          <w:lang w:eastAsia="it-IT"/>
        </w:rPr>
        <w:t xml:space="preserve"> dati, soggetti terzi (società controllate ovvero società terze, quali i fornitori di servizi informatici) che consentono l’operatività </w:t>
      </w:r>
      <w:proofErr w:type="spellStart"/>
      <w:r w:rsidRPr="00A85F84">
        <w:rPr>
          <w:color w:val="000000"/>
          <w:lang w:eastAsia="it-IT"/>
        </w:rPr>
        <w:t>nonchè</w:t>
      </w:r>
      <w:proofErr w:type="spellEnd"/>
      <w:r w:rsidRPr="00A85F84">
        <w:rPr>
          <w:color w:val="000000"/>
          <w:lang w:eastAsia="it-IT"/>
        </w:rPr>
        <w:t xml:space="preserve"> la manutenzione degli strumenti informatici su cui è possibile inserire la Segnalazione, tenuti a trattare i dati per le medesime finalità di cui al precedente punto 3, che sono, all’uopo, nominati “Responsabili del trattamento”, ai sensi dell’art. 28 GDPR. </w:t>
      </w:r>
    </w:p>
    <w:p w14:paraId="47A33D27" w14:textId="25310134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Per lo svolgimento di talune delle attività relative al procedimento di “Whistleblowing”, e sempre per le finalità di cui al punto 3, </w:t>
      </w:r>
      <w:r w:rsidR="00C74DF2">
        <w:rPr>
          <w:color w:val="000000"/>
          <w:lang w:eastAsia="it-IT"/>
        </w:rPr>
        <w:t>Autostrade per l’Italia S.p.A</w:t>
      </w:r>
      <w:r w:rsidR="00E61A1F">
        <w:rPr>
          <w:color w:val="000000"/>
          <w:lang w:eastAsia="it-IT"/>
        </w:rPr>
        <w:t xml:space="preserve">. </w:t>
      </w:r>
      <w:r w:rsidRPr="00A85F84">
        <w:rPr>
          <w:color w:val="000000"/>
          <w:lang w:eastAsia="it-IT"/>
        </w:rPr>
        <w:t xml:space="preserve">potrà comunicare tali dati alle società appartenenti al Gruppo ASPI. In particolare, tali società, a cui possono essere comunicati, per quanto di loro competenza, i dati personali degli Interessati, quali soggetti dipendenti e/o collaboratori e/o fornitori delle stesse, agiscono quali Titolari autonomi, come indicato al precedente punto 1, per finalità di gestione dell’istruttoria, di conclusione dell’attività di definizione della Segnalazione di propria competenza e di adozione dei relativi provvedimenti, in caso di accertamento. </w:t>
      </w:r>
    </w:p>
    <w:p w14:paraId="5C6DE8B8" w14:textId="77777777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L’elenco completo dei soggetti nominati Responsabili è disponibile presso il DPO. In nessun caso i dati personali saranno oggetto di diffusione. </w:t>
      </w:r>
    </w:p>
    <w:p w14:paraId="7F85B5BA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DIRITTI DEGLI INTERESSATI </w:t>
      </w:r>
    </w:p>
    <w:p w14:paraId="4799AD6F" w14:textId="77777777" w:rsidR="001A0BD0" w:rsidRPr="00A85F84" w:rsidRDefault="001A0BD0" w:rsidP="001A0BD0">
      <w:pPr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6D9F67BE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Gli artt. 15-22 GDPR conferiscono agli Interessati la possibilità di esercitare specifici diritti, quali, per esempio, il diritto di accesso, di rettifica, di cancellazione, di limitazione del trattamento. </w:t>
      </w:r>
    </w:p>
    <w:p w14:paraId="175BDDDC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diritti di cui sopra potranno essere esercitati con richiesta rivolta senza formalità al Data </w:t>
      </w:r>
      <w:proofErr w:type="spellStart"/>
      <w:r w:rsidRPr="00A85F84">
        <w:rPr>
          <w:color w:val="000000"/>
          <w:lang w:eastAsia="it-IT"/>
        </w:rPr>
        <w:t>Protection</w:t>
      </w:r>
      <w:proofErr w:type="spellEnd"/>
      <w:r w:rsidRPr="00A85F84">
        <w:rPr>
          <w:color w:val="000000"/>
          <w:lang w:eastAsia="it-IT"/>
        </w:rPr>
        <w:t xml:space="preserve"> </w:t>
      </w:r>
      <w:proofErr w:type="spellStart"/>
      <w:r w:rsidRPr="00A85F84">
        <w:rPr>
          <w:color w:val="000000"/>
          <w:lang w:eastAsia="it-IT"/>
        </w:rPr>
        <w:t>Officer</w:t>
      </w:r>
      <w:proofErr w:type="spellEnd"/>
      <w:r w:rsidRPr="00A85F84">
        <w:rPr>
          <w:color w:val="000000"/>
          <w:lang w:eastAsia="it-IT"/>
        </w:rPr>
        <w:t xml:space="preserve"> (DPO) al seguente indirizzo PEC: dpo@pec.ravspa.it, mediante l’utilizzo di appositi moduli resi disponibili dal Titolare sul sito internet </w:t>
      </w:r>
      <w:hyperlink r:id="rId8" w:history="1">
        <w:r w:rsidRPr="00A85F84">
          <w:rPr>
            <w:color w:val="0563C1"/>
            <w:u w:val="single"/>
            <w:lang w:eastAsia="it-IT"/>
          </w:rPr>
          <w:t>www.ravspa.it</w:t>
        </w:r>
      </w:hyperlink>
      <w:r w:rsidRPr="00A85F84">
        <w:rPr>
          <w:color w:val="000000"/>
          <w:lang w:eastAsia="it-IT"/>
        </w:rPr>
        <w:t xml:space="preserve">. </w:t>
      </w:r>
    </w:p>
    <w:p w14:paraId="3A5B01E3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L’Interessato potrà proporre reclamo ai sensi dell’art. 57 lett. f) GDPR all’Autorità Garante per la Protezione dei Dati Personali. </w:t>
      </w:r>
    </w:p>
    <w:p w14:paraId="50642772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Nel caso in cui l’esercizio dei diritti di cui sopra da parte del Segnalato possa comportare un pregiudizio effettivo e concreto alla protezione e riservatezza dei dati personali del Segnalante, il Titolare potrà limitare, ritardare ovvero escludere tale esercizio, ai sensi dell’art. 2-undecies, co. 1, lett. f) del Codice Privacy, e non dare seguito all’istanza. </w:t>
      </w:r>
    </w:p>
    <w:p w14:paraId="2D4A3348" w14:textId="77777777" w:rsidR="001A0BD0" w:rsidRPr="00A85F84" w:rsidRDefault="001A0BD0" w:rsidP="001A0BD0">
      <w:pPr>
        <w:spacing w:before="7" w:after="100" w:afterAutospacing="1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In tali casi, i diritti dell’Interessato, ai sensi dell’art. 2-undecies, co. 3 del Codice Privacy, possono essere esercitati tramite il Garante con le modalità di cui all’art. 160 del Codice Privacy. </w:t>
      </w:r>
    </w:p>
    <w:p w14:paraId="129E1618" w14:textId="77777777" w:rsidR="001A0BD0" w:rsidRDefault="001A0BD0" w:rsidP="001A0BD0">
      <w:pPr>
        <w:widowControl/>
        <w:numPr>
          <w:ilvl w:val="0"/>
          <w:numId w:val="12"/>
        </w:numPr>
        <w:autoSpaceDE/>
        <w:autoSpaceDN/>
        <w:spacing w:before="7" w:after="120" w:line="289" w:lineRule="exact"/>
        <w:contextualSpacing/>
        <w:jc w:val="both"/>
        <w:rPr>
          <w:b/>
          <w:bCs/>
          <w:color w:val="000000"/>
          <w:lang w:eastAsia="it-IT"/>
        </w:rPr>
      </w:pPr>
      <w:r w:rsidRPr="00A85F84">
        <w:rPr>
          <w:b/>
          <w:bCs/>
          <w:color w:val="000000"/>
          <w:lang w:eastAsia="it-IT"/>
        </w:rPr>
        <w:t xml:space="preserve">EVENTUALE TRASFERIMENTO ALL’ESTERO DEI DATI PERSONALI </w:t>
      </w:r>
    </w:p>
    <w:p w14:paraId="55C24E64" w14:textId="77777777" w:rsidR="001A0BD0" w:rsidRPr="00A85F84" w:rsidRDefault="001A0BD0" w:rsidP="001A0BD0">
      <w:pPr>
        <w:spacing w:before="7" w:after="120" w:line="289" w:lineRule="exact"/>
        <w:ind w:left="720"/>
        <w:contextualSpacing/>
        <w:jc w:val="both"/>
        <w:rPr>
          <w:b/>
          <w:bCs/>
          <w:color w:val="000000"/>
          <w:lang w:eastAsia="it-IT"/>
        </w:rPr>
      </w:pPr>
    </w:p>
    <w:p w14:paraId="1A462A99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La gestione e la conservazione dei dati avvengono su server di società terze nominate Responsabili del trattamento, come indicato al precedente punto 6, ubicati in Italia e all’interno dell’Unione Europea. </w:t>
      </w:r>
    </w:p>
    <w:p w14:paraId="10DCE203" w14:textId="77777777" w:rsidR="001A0BD0" w:rsidRPr="00A85F84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 xml:space="preserve">I dati personali non sono oggetto di trasferimento al di fuori dell’Unione Europea. </w:t>
      </w:r>
    </w:p>
    <w:p w14:paraId="523C1C2E" w14:textId="5EB5FF13" w:rsidR="001A0BD0" w:rsidRPr="00C71265" w:rsidRDefault="001A0BD0" w:rsidP="001A0BD0">
      <w:pPr>
        <w:spacing w:before="7" w:after="120" w:line="289" w:lineRule="exact"/>
        <w:jc w:val="both"/>
        <w:rPr>
          <w:color w:val="000000"/>
          <w:lang w:eastAsia="it-IT"/>
        </w:rPr>
      </w:pPr>
      <w:r w:rsidRPr="00A85F84">
        <w:rPr>
          <w:color w:val="000000"/>
          <w:lang w:eastAsia="it-IT"/>
        </w:rPr>
        <w:t>Ove si rendesse necessario, il Titolare avrà facoltà di spostare l’ubicazione degli archivi e dei server in Italia e/o nell’Unione Europea e/o in Paesi extra-UE. In tal ultimo caso, si assicura, sin d’ora, che il trasferimento dei dati extra-UE avverrà in conformità alle disposizioni di legge applicabili, stipulando, ove necessario, accordi che garantiscano un livello di protezione adeguato e/o adottando le Clausole Contrattuali Standard previste dalla Commissione Europea.</w:t>
      </w:r>
    </w:p>
    <w:p w14:paraId="6712000D" w14:textId="2C66A028" w:rsidR="001A0BD0" w:rsidRDefault="00C71265" w:rsidP="001A0BD0">
      <w:pPr>
        <w:spacing w:before="3" w:line="273" w:lineRule="exact"/>
        <w:textAlignment w:val="baseline"/>
      </w:pPr>
      <w:r w:rsidRPr="00A85F84">
        <w:rPr>
          <w:sz w:val="18"/>
          <w:szCs w:val="18"/>
          <w:lang w:eastAsia="it-IT"/>
        </w:rPr>
        <w:t xml:space="preserve">Versione </w:t>
      </w:r>
      <w:r>
        <w:rPr>
          <w:sz w:val="18"/>
          <w:szCs w:val="18"/>
          <w:lang w:eastAsia="it-IT"/>
        </w:rPr>
        <w:t>1 del 12.05.2023</w:t>
      </w:r>
    </w:p>
    <w:p w14:paraId="3898EFC7" w14:textId="77777777" w:rsidR="001A0BD0" w:rsidRDefault="001A0BD0" w:rsidP="001A0BD0">
      <w:pPr>
        <w:spacing w:before="3" w:line="273" w:lineRule="exact"/>
        <w:textAlignment w:val="baseline"/>
      </w:pPr>
    </w:p>
    <w:p w14:paraId="5E338533" w14:textId="77777777" w:rsidR="001A0BD0" w:rsidRDefault="001A0BD0" w:rsidP="001A0BD0">
      <w:pPr>
        <w:spacing w:before="3" w:line="273" w:lineRule="exact"/>
        <w:textAlignment w:val="baseline"/>
      </w:pPr>
    </w:p>
    <w:p w14:paraId="7989E28B" w14:textId="77777777" w:rsidR="001A0BD0" w:rsidRPr="00B1663B" w:rsidRDefault="001A0BD0" w:rsidP="001A0BD0"/>
    <w:p w14:paraId="39C4F9B7" w14:textId="77777777" w:rsidR="001A0BD0" w:rsidRPr="00B1663B" w:rsidRDefault="001A0BD0" w:rsidP="001A0BD0"/>
    <w:p w14:paraId="54ACA7D6" w14:textId="77777777" w:rsidR="001A0BD0" w:rsidRPr="00B1663B" w:rsidRDefault="001A0BD0" w:rsidP="001A0BD0"/>
    <w:p w14:paraId="7EAFAC15" w14:textId="77777777" w:rsidR="001A0BD0" w:rsidRPr="00B1663B" w:rsidRDefault="001A0BD0" w:rsidP="001A0BD0"/>
    <w:p w14:paraId="34699EAF" w14:textId="77777777" w:rsidR="001A0BD0" w:rsidRPr="00B1663B" w:rsidRDefault="001A0BD0" w:rsidP="001A0BD0"/>
    <w:p w14:paraId="52F97F8E" w14:textId="77777777" w:rsidR="001A0BD0" w:rsidRPr="00B1663B" w:rsidRDefault="001A0BD0" w:rsidP="001A0BD0"/>
    <w:p w14:paraId="7F05DAFD" w14:textId="77777777" w:rsidR="00D71C65" w:rsidRPr="00077562" w:rsidRDefault="00D71C65" w:rsidP="001A0BD0">
      <w:pPr>
        <w:spacing w:before="7" w:line="289" w:lineRule="exact"/>
        <w:jc w:val="center"/>
      </w:pPr>
    </w:p>
    <w:sectPr w:rsidR="00D71C65" w:rsidRPr="00077562" w:rsidSect="006E7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40" w:right="980" w:bottom="1418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2F1E" w14:textId="77777777" w:rsidR="00FF12C8" w:rsidRDefault="00FF12C8" w:rsidP="008258C0">
      <w:r>
        <w:separator/>
      </w:r>
    </w:p>
  </w:endnote>
  <w:endnote w:type="continuationSeparator" w:id="0">
    <w:p w14:paraId="24E534FF" w14:textId="77777777" w:rsidR="00FF12C8" w:rsidRDefault="00FF12C8" w:rsidP="0082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C4E5" w14:textId="77777777" w:rsidR="008258C0" w:rsidRDefault="00825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F77D" w14:textId="77777777" w:rsidR="008258C0" w:rsidRDefault="00825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2236" w14:textId="77777777" w:rsidR="008258C0" w:rsidRDefault="00825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056C" w14:textId="77777777" w:rsidR="00FF12C8" w:rsidRDefault="00FF12C8" w:rsidP="008258C0">
      <w:r>
        <w:separator/>
      </w:r>
    </w:p>
  </w:footnote>
  <w:footnote w:type="continuationSeparator" w:id="0">
    <w:p w14:paraId="54964C89" w14:textId="77777777" w:rsidR="00FF12C8" w:rsidRDefault="00FF12C8" w:rsidP="0082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E777" w14:textId="77777777" w:rsidR="008258C0" w:rsidRDefault="008258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C525" w14:textId="3B6C42E0" w:rsidR="008258C0" w:rsidRDefault="008258C0">
    <w:pPr>
      <w:pStyle w:val="Intestazione"/>
    </w:pPr>
    <w:r w:rsidRPr="008258C0">
      <w:rPr>
        <w:rFonts w:ascii="Calibri" w:eastAsia="Calibri" w:hAnsi="Calibri"/>
        <w:noProof/>
        <w:lang w:eastAsia="it-IT"/>
      </w:rPr>
      <w:drawing>
        <wp:anchor distT="0" distB="0" distL="114300" distR="114300" simplePos="0" relativeHeight="251658240" behindDoc="0" locked="0" layoutInCell="1" allowOverlap="1" wp14:anchorId="434E5C86" wp14:editId="53979E53">
          <wp:simplePos x="0" y="0"/>
          <wp:positionH relativeFrom="column">
            <wp:posOffset>-908298</wp:posOffset>
          </wp:positionH>
          <wp:positionV relativeFrom="paragraph">
            <wp:posOffset>-798858</wp:posOffset>
          </wp:positionV>
          <wp:extent cx="7696862" cy="10881567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862" cy="1088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CDD1" w14:textId="77777777" w:rsidR="008258C0" w:rsidRDefault="008258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0F5"/>
    <w:multiLevelType w:val="hybridMultilevel"/>
    <w:tmpl w:val="7B782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127"/>
    <w:multiLevelType w:val="hybridMultilevel"/>
    <w:tmpl w:val="8310A3AA"/>
    <w:lvl w:ilvl="0" w:tplc="53EC0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25C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3" w15:restartNumberingAfterBreak="0">
    <w:nsid w:val="248D75A9"/>
    <w:multiLevelType w:val="hybridMultilevel"/>
    <w:tmpl w:val="42A2B364"/>
    <w:lvl w:ilvl="0" w:tplc="A59E3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528A"/>
    <w:multiLevelType w:val="multilevel"/>
    <w:tmpl w:val="4E4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D6251"/>
    <w:multiLevelType w:val="hybridMultilevel"/>
    <w:tmpl w:val="8C587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E4747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7" w15:restartNumberingAfterBreak="0">
    <w:nsid w:val="39AC49B4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8" w15:restartNumberingAfterBreak="0">
    <w:nsid w:val="40640201"/>
    <w:multiLevelType w:val="hybridMultilevel"/>
    <w:tmpl w:val="1C3EF738"/>
    <w:lvl w:ilvl="0" w:tplc="D1D45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A7C85"/>
    <w:multiLevelType w:val="hybridMultilevel"/>
    <w:tmpl w:val="EE9C6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95168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11" w15:restartNumberingAfterBreak="0">
    <w:nsid w:val="56EF5BFF"/>
    <w:multiLevelType w:val="multilevel"/>
    <w:tmpl w:val="FD32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760B8"/>
    <w:multiLevelType w:val="hybridMultilevel"/>
    <w:tmpl w:val="6AB63E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72C9B"/>
    <w:multiLevelType w:val="hybridMultilevel"/>
    <w:tmpl w:val="45AE9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03467">
    <w:abstractNumId w:val="2"/>
  </w:num>
  <w:num w:numId="2" w16cid:durableId="1154024194">
    <w:abstractNumId w:val="10"/>
  </w:num>
  <w:num w:numId="3" w16cid:durableId="778833665">
    <w:abstractNumId w:val="6"/>
  </w:num>
  <w:num w:numId="4" w16cid:durableId="1113942747">
    <w:abstractNumId w:val="7"/>
  </w:num>
  <w:num w:numId="5" w16cid:durableId="595670880">
    <w:abstractNumId w:val="8"/>
  </w:num>
  <w:num w:numId="6" w16cid:durableId="225260618">
    <w:abstractNumId w:val="12"/>
  </w:num>
  <w:num w:numId="7" w16cid:durableId="1474213">
    <w:abstractNumId w:val="4"/>
  </w:num>
  <w:num w:numId="8" w16cid:durableId="1702363913">
    <w:abstractNumId w:val="11"/>
  </w:num>
  <w:num w:numId="9" w16cid:durableId="539325014">
    <w:abstractNumId w:val="5"/>
  </w:num>
  <w:num w:numId="10" w16cid:durableId="721714356">
    <w:abstractNumId w:val="3"/>
  </w:num>
  <w:num w:numId="11" w16cid:durableId="1792354988">
    <w:abstractNumId w:val="9"/>
  </w:num>
  <w:num w:numId="12" w16cid:durableId="2121678017">
    <w:abstractNumId w:val="13"/>
  </w:num>
  <w:num w:numId="13" w16cid:durableId="2097631006">
    <w:abstractNumId w:val="1"/>
  </w:num>
  <w:num w:numId="14" w16cid:durableId="213270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C65"/>
    <w:rsid w:val="00064BC2"/>
    <w:rsid w:val="00077562"/>
    <w:rsid w:val="00092419"/>
    <w:rsid w:val="000C491C"/>
    <w:rsid w:val="000D1336"/>
    <w:rsid w:val="001006DF"/>
    <w:rsid w:val="00157BCE"/>
    <w:rsid w:val="00181F37"/>
    <w:rsid w:val="001A0BD0"/>
    <w:rsid w:val="00212902"/>
    <w:rsid w:val="002B3294"/>
    <w:rsid w:val="00355016"/>
    <w:rsid w:val="003620F6"/>
    <w:rsid w:val="00387D4A"/>
    <w:rsid w:val="00417BB1"/>
    <w:rsid w:val="0047094E"/>
    <w:rsid w:val="00472ABD"/>
    <w:rsid w:val="00481D28"/>
    <w:rsid w:val="004C5E1C"/>
    <w:rsid w:val="00546F0B"/>
    <w:rsid w:val="005902D9"/>
    <w:rsid w:val="00621333"/>
    <w:rsid w:val="00630E9D"/>
    <w:rsid w:val="00634B57"/>
    <w:rsid w:val="006D30E9"/>
    <w:rsid w:val="006D7C72"/>
    <w:rsid w:val="006E7799"/>
    <w:rsid w:val="007423BD"/>
    <w:rsid w:val="00760F30"/>
    <w:rsid w:val="00783C66"/>
    <w:rsid w:val="007966CF"/>
    <w:rsid w:val="007B4A85"/>
    <w:rsid w:val="007C68A4"/>
    <w:rsid w:val="007C6BF3"/>
    <w:rsid w:val="008258C0"/>
    <w:rsid w:val="0084533F"/>
    <w:rsid w:val="00850A45"/>
    <w:rsid w:val="008514FF"/>
    <w:rsid w:val="008A687C"/>
    <w:rsid w:val="008F6D03"/>
    <w:rsid w:val="009172C9"/>
    <w:rsid w:val="00937DD6"/>
    <w:rsid w:val="00970B09"/>
    <w:rsid w:val="009E0BF5"/>
    <w:rsid w:val="009F6071"/>
    <w:rsid w:val="00A3224A"/>
    <w:rsid w:val="00A4215B"/>
    <w:rsid w:val="00A90FA5"/>
    <w:rsid w:val="00AE366B"/>
    <w:rsid w:val="00AF1CD6"/>
    <w:rsid w:val="00AF3B9C"/>
    <w:rsid w:val="00B338B4"/>
    <w:rsid w:val="00B82A19"/>
    <w:rsid w:val="00BB00F0"/>
    <w:rsid w:val="00C56798"/>
    <w:rsid w:val="00C71265"/>
    <w:rsid w:val="00C74DF2"/>
    <w:rsid w:val="00C90D5B"/>
    <w:rsid w:val="00CA05F8"/>
    <w:rsid w:val="00CB219B"/>
    <w:rsid w:val="00D32A9A"/>
    <w:rsid w:val="00D42DDF"/>
    <w:rsid w:val="00D52F8E"/>
    <w:rsid w:val="00D71C65"/>
    <w:rsid w:val="00DB7C8A"/>
    <w:rsid w:val="00DC6415"/>
    <w:rsid w:val="00DD1208"/>
    <w:rsid w:val="00DF0C9E"/>
    <w:rsid w:val="00E0388D"/>
    <w:rsid w:val="00E61A1F"/>
    <w:rsid w:val="00E760F2"/>
    <w:rsid w:val="00EA5157"/>
    <w:rsid w:val="00EF37DD"/>
    <w:rsid w:val="00F275C6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DAD4"/>
  <w15:docId w15:val="{B27F70E5-175C-4EE4-9404-A17AD44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4" w:hanging="361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878" w:hanging="49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5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8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5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8C0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3B9C"/>
    <w:pPr>
      <w:widowControl/>
      <w:autoSpaceDE/>
      <w:autoSpaceDN/>
      <w:jc w:val="both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3B9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3B9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F3B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3B9C"/>
    <w:pPr>
      <w:widowControl/>
      <w:autoSpaceDE/>
      <w:autoSpaceDN/>
      <w:ind w:hanging="357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3B9C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6F0B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6F0B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sp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nalazioni@autostrad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8991</Characters>
  <Application>Microsoft Office Word</Application>
  <DocSecurity>0</DocSecurity>
  <Lines>183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Silenzi, Chiara</cp:lastModifiedBy>
  <cp:revision>2</cp:revision>
  <dcterms:created xsi:type="dcterms:W3CDTF">2023-05-11T19:58:00Z</dcterms:created>
  <dcterms:modified xsi:type="dcterms:W3CDTF">2023-05-11T19:58:00Z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2023-05-10T00:00:00Z</vt:filetime>
  </property>
</Properties>
</file>